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220B" w:rsidP="3D9D37E7" w:rsidRDefault="2470BA28" w14:paraId="27471710" w14:textId="1A991B54">
      <w:pPr>
        <w:jc w:val="center"/>
        <w:rPr>
          <w:b/>
          <w:bCs/>
          <w:sz w:val="36"/>
          <w:szCs w:val="36"/>
        </w:rPr>
      </w:pPr>
      <w:r w:rsidRPr="3D9D37E7">
        <w:rPr>
          <w:b/>
          <w:bCs/>
          <w:sz w:val="36"/>
          <w:szCs w:val="36"/>
        </w:rPr>
        <w:t xml:space="preserve">ESG en el sector asegurador: pasos clave </w:t>
      </w:r>
      <w:r>
        <w:br/>
      </w:r>
      <w:r w:rsidRPr="3D9D37E7">
        <w:rPr>
          <w:b/>
          <w:bCs/>
          <w:sz w:val="36"/>
          <w:szCs w:val="36"/>
        </w:rPr>
        <w:t>para un servicio eficiente y sostenible</w:t>
      </w:r>
    </w:p>
    <w:p w:rsidR="0060220B" w:rsidP="3D9D37E7" w:rsidRDefault="2470BA28" w14:paraId="22ED27A0" w14:textId="69F27279">
      <w:pPr>
        <w:jc w:val="both"/>
      </w:pPr>
      <w:r w:rsidR="2470BA28">
        <w:rPr/>
        <w:t xml:space="preserve">CIUDAD DE MÉXICO. </w:t>
      </w:r>
      <w:r w:rsidR="0AE87AC0">
        <w:rPr/>
        <w:t>28</w:t>
      </w:r>
      <w:r w:rsidR="2470BA28">
        <w:rPr/>
        <w:t xml:space="preserve"> de </w:t>
      </w:r>
      <w:r w:rsidR="6F530A7A">
        <w:rPr/>
        <w:t>abril</w:t>
      </w:r>
      <w:r w:rsidR="2470BA28">
        <w:rPr/>
        <w:t xml:space="preserve"> de 2025.- En 2025 los criterios ambientales, sociales y de gobernanza (ESG, por sus siglas en inglés) se consolidan como pilares esenciales para el sector asegurador. Estos lineamientos no solo permiten ofrecer productos más responsables y eficientes, sino que también trazan un camino hacia un ecosistema de seguros con menor</w:t>
      </w:r>
      <w:r w:rsidR="2470BA28">
        <w:rPr/>
        <w:t xml:space="preserve"> impacto </w:t>
      </w:r>
      <w:r w:rsidR="2470BA28">
        <w:rPr/>
        <w:t>ambienta</w:t>
      </w:r>
      <w:r w:rsidR="1E580CDF">
        <w:rPr/>
        <w:t>l</w:t>
      </w:r>
      <w:r w:rsidR="1E580CDF">
        <w:rPr/>
        <w:t xml:space="preserve"> y mayor impacto positivo en la sociedad</w:t>
      </w:r>
      <w:r w:rsidR="2470BA28">
        <w:rPr/>
        <w:t xml:space="preserve">. </w:t>
      </w:r>
      <w:r w:rsidR="0A9592B7">
        <w:rPr/>
        <w:t>S</w:t>
      </w:r>
      <w:r w:rsidR="2470BA28">
        <w:rPr/>
        <w:t xml:space="preserve">egún </w:t>
      </w:r>
      <w:hyperlink r:id="R570438dafa7246dc">
        <w:r w:rsidRPr="559AA325" w:rsidR="2470BA28">
          <w:rPr>
            <w:rStyle w:val="Hyperlink"/>
          </w:rPr>
          <w:t>PwC</w:t>
        </w:r>
      </w:hyperlink>
      <w:r w:rsidR="2470BA28">
        <w:rPr/>
        <w:t>, e</w:t>
      </w:r>
      <w:r w:rsidR="2470BA28">
        <w:rPr/>
        <w:t>l</w:t>
      </w:r>
      <w:r w:rsidR="2470BA28">
        <w:rPr/>
        <w:t xml:space="preserve"> 8</w:t>
      </w:r>
      <w:r w:rsidR="2470BA28">
        <w:rPr/>
        <w:t>0% de los jugadores del mercado consideran las inversiones ESG como una prioridad clave para este año.</w:t>
      </w:r>
    </w:p>
    <w:p w:rsidR="0060220B" w:rsidP="3D9D37E7" w:rsidRDefault="2470BA28" w14:paraId="75C48B0A" w14:textId="0B3A1CF6">
      <w:pPr>
        <w:jc w:val="both"/>
      </w:pPr>
      <w:r w:rsidR="2470BA28">
        <w:rPr/>
        <w:t xml:space="preserve">La agenda ESG está transformando las estrategias corporativas de las aseguradoras, desde la operación interna hasta la relación con clientes y comunidades. Zúrich México destaca que integrar estos criterios no es solo una necesidad operativa, sino una oportunidad para liderar un cambio positivo. </w:t>
      </w:r>
    </w:p>
    <w:p w:rsidR="0060220B" w:rsidP="758E329B" w:rsidRDefault="2470BA28" w14:paraId="3EC840EA" w14:textId="151C822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758E329B">
        <w:rPr>
          <w:sz w:val="28"/>
          <w:szCs w:val="28"/>
        </w:rPr>
        <w:t>Pasos clave para una estrategia ESG sostenible</w:t>
      </w:r>
    </w:p>
    <w:p w:rsidR="0060220B" w:rsidP="3D9D37E7" w:rsidRDefault="2470BA28" w14:paraId="3E8DB881" w14:textId="4BC91534">
      <w:pPr>
        <w:jc w:val="both"/>
      </w:pPr>
      <w:r w:rsidRPr="19413F57" w:rsidR="2470BA28">
        <w:rPr>
          <w:b w:val="1"/>
          <w:bCs w:val="1"/>
        </w:rPr>
        <w:t>Transición hacia vehículos eléctricos en la</w:t>
      </w:r>
      <w:r w:rsidRPr="19413F57" w:rsidR="32A6F9E4">
        <w:rPr>
          <w:b w:val="1"/>
          <w:bCs w:val="1"/>
        </w:rPr>
        <w:t>s</w:t>
      </w:r>
      <w:r w:rsidRPr="19413F57" w:rsidR="2470BA28">
        <w:rPr>
          <w:b w:val="1"/>
          <w:bCs w:val="1"/>
        </w:rPr>
        <w:t xml:space="preserve"> flotilla</w:t>
      </w:r>
      <w:r w:rsidRPr="19413F57" w:rsidR="3834A964">
        <w:rPr>
          <w:b w:val="1"/>
          <w:bCs w:val="1"/>
        </w:rPr>
        <w:t>s</w:t>
      </w:r>
      <w:r w:rsidRPr="19413F57" w:rsidR="2470BA28">
        <w:rPr>
          <w:b w:val="1"/>
          <w:bCs w:val="1"/>
        </w:rPr>
        <w:t xml:space="preserve">: </w:t>
      </w:r>
      <w:r w:rsidR="2470BA28">
        <w:rPr/>
        <w:t xml:space="preserve">Una de las acciones prioritarias para </w:t>
      </w:r>
      <w:r w:rsidR="2470BA28">
        <w:rPr/>
        <w:t>Zurich</w:t>
      </w:r>
      <w:r w:rsidR="2470BA28">
        <w:rPr/>
        <w:t xml:space="preserve"> este 2025 es </w:t>
      </w:r>
      <w:r w:rsidR="368F9DD8">
        <w:rPr/>
        <w:t xml:space="preserve">avanzar hacia una estrategia de cero emisiones, en la que la adopción </w:t>
      </w:r>
      <w:r w:rsidR="2470BA28">
        <w:rPr/>
        <w:t>de autos híbridos</w:t>
      </w:r>
      <w:r w:rsidR="56379872">
        <w:rPr/>
        <w:t xml:space="preserve"> para los</w:t>
      </w:r>
      <w:r w:rsidR="2470BA28">
        <w:rPr/>
        <w:t xml:space="preserve"> ajustadores</w:t>
      </w:r>
      <w:r w:rsidR="0A865D29">
        <w:rPr/>
        <w:t xml:space="preserve"> juega un rol importante</w:t>
      </w:r>
      <w:r w:rsidR="2470BA28">
        <w:rPr/>
        <w:t>. Este esfuerzo</w:t>
      </w:r>
      <w:r w:rsidR="22A2FDC5">
        <w:rPr/>
        <w:t>, junto con otras acciones como un esquema de transportación de empleados en modalidad ‘pool’ para disminuir el uso del automóvil diario,</w:t>
      </w:r>
      <w:r w:rsidR="2470BA28">
        <w:rPr/>
        <w:t xml:space="preserve"> </w:t>
      </w:r>
      <w:r w:rsidR="66158BEA">
        <w:rPr/>
        <w:t>no son exclusivas de la compañía;</w:t>
      </w:r>
      <w:r w:rsidR="66158BEA">
        <w:rPr/>
        <w:t xml:space="preserve"> </w:t>
      </w:r>
      <w:r w:rsidR="66158BEA">
        <w:rPr/>
        <w:t>a nivel federal</w:t>
      </w:r>
      <w:r w:rsidR="66158BEA">
        <w:rPr/>
        <w:t xml:space="preserve"> s</w:t>
      </w:r>
      <w:r w:rsidR="66158BEA">
        <w:rPr/>
        <w:t>e anunció recientemente</w:t>
      </w:r>
      <w:r w:rsidR="2470BA28">
        <w:rPr/>
        <w:t xml:space="preserve"> </w:t>
      </w:r>
      <w:r w:rsidR="7A544D12">
        <w:rPr/>
        <w:t>el desarrollo de</w:t>
      </w:r>
      <w:r w:rsidR="2470BA28">
        <w:rPr/>
        <w:t xml:space="preserve"> la primera </w:t>
      </w:r>
      <w:hyperlink r:id="Rb55895d129794866">
        <w:r w:rsidRPr="19413F57" w:rsidR="2470BA28">
          <w:rPr>
            <w:rStyle w:val="Hyperlink"/>
          </w:rPr>
          <w:t>armadora de mini vehículos</w:t>
        </w:r>
      </w:hyperlink>
      <w:r w:rsidR="2470BA28">
        <w:rPr/>
        <w:t xml:space="preserve"> eléctricos en México, una apuesta por la movilidad urbana sustentable y accesible para millones de personas.</w:t>
      </w:r>
    </w:p>
    <w:p w:rsidR="0060220B" w:rsidP="3D9D37E7" w:rsidRDefault="2470BA28" w14:paraId="79460FAC" w14:textId="3ABB0570">
      <w:pPr>
        <w:jc w:val="both"/>
      </w:pPr>
      <w:r w:rsidRPr="758E329B">
        <w:rPr>
          <w:b/>
          <w:bCs/>
        </w:rPr>
        <w:t>Promoción de productos y servicios sostenibles:</w:t>
      </w:r>
      <w:r>
        <w:t xml:space="preserve"> Las aseguradoras deben diseñar productos que incentiven comportamientos responsables entre sus clientes. Por ejemplo, ofrecer descuentos o beneficios adicionales para aquellos que utilicen energías renovables, adopten vehículos eléctricos o implementen prácticas sostenibles en sus hogares y empresas. Este enfoque no solo impulsa la adopción de tecnologías limpias, sino que también fortalece la relación con clientes comprometidos con la sostenibilidad.</w:t>
      </w:r>
    </w:p>
    <w:p w:rsidR="0060220B" w:rsidP="3D9D37E7" w:rsidRDefault="2470BA28" w14:paraId="1AE6D1F4" w14:textId="47BB99CD">
      <w:pPr>
        <w:jc w:val="both"/>
      </w:pPr>
      <w:r w:rsidRPr="758E329B">
        <w:rPr>
          <w:b/>
          <w:bCs/>
        </w:rPr>
        <w:t xml:space="preserve">Educación y concientización interna: </w:t>
      </w:r>
      <w:r>
        <w:t xml:space="preserve">La adopción de una cultura ESG comienza desde el interior. Las aseguradoras deben invertir en programas de capacitación que </w:t>
      </w:r>
      <w:r>
        <w:lastRenderedPageBreak/>
        <w:t>sensibilicen a sus colaboradores sobre la importancia de estos criterios y su aplicación diaria. Zurich destaca la relevancia de impartir talleres y campañas internas que fomenten prácticas sostenibles entre sus equipos, desde el ahorro energético hasta el reciclaje en oficinas.</w:t>
      </w:r>
    </w:p>
    <w:p w:rsidR="0060220B" w:rsidP="3D9D37E7" w:rsidRDefault="2470BA28" w14:paraId="7FD59751" w14:textId="79C56591">
      <w:pPr>
        <w:jc w:val="both"/>
      </w:pPr>
      <w:r>
        <w:t xml:space="preserve"> </w:t>
      </w:r>
    </w:p>
    <w:p w:rsidR="0060220B" w:rsidP="3D9D37E7" w:rsidRDefault="2470BA28" w14:paraId="3C11010A" w14:textId="57C139D3">
      <w:pPr>
        <w:jc w:val="both"/>
      </w:pPr>
      <w:r w:rsidRPr="10B6CF94" w:rsidR="2470BA28">
        <w:rPr>
          <w:b w:val="1"/>
          <w:bCs w:val="1"/>
        </w:rPr>
        <w:t xml:space="preserve">Uso de tecnología para optimizar procesos sostenibles: </w:t>
      </w:r>
      <w:r w:rsidR="2470BA28">
        <w:rPr/>
        <w:t xml:space="preserve">La innovación tecnológica desempeña un papel crucial en la integración de ESG. </w:t>
      </w:r>
      <w:r w:rsidR="17BB27C9">
        <w:rPr/>
        <w:t>Un ejemplo son las</w:t>
      </w:r>
      <w:r w:rsidR="2470BA28">
        <w:rPr/>
        <w:t xml:space="preserve"> plataformas </w:t>
      </w:r>
      <w:r w:rsidR="078B5617">
        <w:rPr/>
        <w:t xml:space="preserve">de atención online para siniestros de baja gravedad </w:t>
      </w:r>
      <w:r w:rsidR="078B5617">
        <w:rPr/>
        <w:t>que evit</w:t>
      </w:r>
      <w:r w:rsidR="74773C14">
        <w:rPr/>
        <w:t>a</w:t>
      </w:r>
      <w:r w:rsidR="078B5617">
        <w:rPr/>
        <w:t>n</w:t>
      </w:r>
      <w:r w:rsidR="078B5617">
        <w:rPr/>
        <w:t xml:space="preserve"> </w:t>
      </w:r>
      <w:r w:rsidR="078B5617">
        <w:rPr/>
        <w:t xml:space="preserve">que un ajustador acuda de forma presencial, como el Ajuste Virtual de </w:t>
      </w:r>
      <w:r w:rsidR="078B5617">
        <w:rPr/>
        <w:t>Zurich</w:t>
      </w:r>
      <w:r w:rsidR="1948BE28">
        <w:rPr/>
        <w:t xml:space="preserve">. </w:t>
      </w:r>
    </w:p>
    <w:p w:rsidR="0060220B" w:rsidP="3D9D37E7" w:rsidRDefault="2470BA28" w14:paraId="5C1A07E2" w14:textId="661ADEF6">
      <w:pPr>
        <w:jc w:val="both"/>
      </w:pPr>
      <w:r>
        <w:t xml:space="preserve">El sector asegurador tiene una posición única para influir en la transición hacia un futuro más verde y equitativo. </w:t>
      </w:r>
      <w:r w:rsidR="5575C558">
        <w:t>L</w:t>
      </w:r>
      <w:r>
        <w:t>a integración de los criterios ESG no solo mejora la eficiencia operativa y fortalece la confianza del cliente, sino que también contribuye a construir un mundo más sostenible para las próximas generaciones. En un entorno donde la sostenibilidad es cada vez más relevante, liderar con propósito y acción concreta marcará la diferencia entre las empresas que evolucionan y aquellas que se quedan atrás.</w:t>
      </w:r>
    </w:p>
    <w:p w:rsidR="758E329B" w:rsidP="758E329B" w:rsidRDefault="758E329B" w14:paraId="59A4BB8B" w14:textId="21D46878">
      <w:pPr>
        <w:jc w:val="both"/>
      </w:pPr>
    </w:p>
    <w:p w:rsidR="3EDDA0F8" w:rsidP="758E329B" w:rsidRDefault="3EDDA0F8" w14:paraId="0A2ED218" w14:textId="23CD9C54">
      <w:pPr>
        <w:spacing w:line="240" w:lineRule="auto"/>
        <w:jc w:val="center"/>
        <w:rPr>
          <w:rFonts w:ascii="Arial" w:hAnsi="Arial" w:eastAsia="Arial" w:cs="Arial"/>
          <w:color w:val="000000" w:themeColor="text1"/>
        </w:rPr>
      </w:pPr>
      <w:r w:rsidRPr="008B5B79">
        <w:rPr>
          <w:rFonts w:ascii="Arial" w:hAnsi="Arial" w:eastAsia="Arial" w:cs="Arial"/>
          <w:color w:val="000000" w:themeColor="text1"/>
        </w:rPr>
        <w:t>-o0o-</w:t>
      </w:r>
    </w:p>
    <w:p w:rsidR="758E329B" w:rsidP="758E329B" w:rsidRDefault="758E329B" w14:paraId="0508B45B" w14:textId="1FE5B3AE">
      <w:pPr>
        <w:spacing w:line="240" w:lineRule="auto"/>
        <w:jc w:val="both"/>
        <w:rPr>
          <w:rFonts w:ascii="Arial" w:hAnsi="Arial" w:eastAsia="Arial" w:cs="Arial"/>
          <w:color w:val="000000" w:themeColor="text1"/>
        </w:rPr>
      </w:pPr>
    </w:p>
    <w:p w:rsidR="3EDDA0F8" w:rsidP="758E329B" w:rsidRDefault="3EDDA0F8" w14:paraId="401FC137" w14:textId="722CD1A1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008B5B79"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  <w:t>Acerca de Zurich</w:t>
      </w:r>
    </w:p>
    <w:p w:rsidR="3EDDA0F8" w:rsidP="758E329B" w:rsidRDefault="3EDDA0F8" w14:paraId="51A79E54" w14:textId="67C37FC1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008B5B79">
        <w:rPr>
          <w:rFonts w:ascii="Arial" w:hAnsi="Arial" w:eastAsia="Arial" w:cs="Arial"/>
          <w:color w:val="000000" w:themeColor="text1"/>
          <w:sz w:val="18"/>
          <w:szCs w:val="18"/>
        </w:rPr>
        <w:t xml:space="preserve">Zurich </w:t>
      </w:r>
      <w:proofErr w:type="spellStart"/>
      <w:r w:rsidRPr="008B5B79">
        <w:rPr>
          <w:rFonts w:ascii="Arial" w:hAnsi="Arial" w:eastAsia="Arial" w:cs="Arial"/>
          <w:color w:val="000000" w:themeColor="text1"/>
          <w:sz w:val="18"/>
          <w:szCs w:val="18"/>
        </w:rPr>
        <w:t>Insurance</w:t>
      </w:r>
      <w:proofErr w:type="spellEnd"/>
      <w:r w:rsidRPr="008B5B79">
        <w:rPr>
          <w:rFonts w:ascii="Arial" w:hAnsi="Arial" w:eastAsia="Arial" w:cs="Arial"/>
          <w:color w:val="000000" w:themeColor="text1"/>
          <w:sz w:val="18"/>
          <w:szCs w:val="18"/>
        </w:rPr>
        <w:t xml:space="preserve"> Group (Zurich) es una aseguradora líder multicanal que se especializa en gestión y prevención de riesgos. Zurich atiende tanto a personas como a empresas en más de 200 países y territorios. Fundada hace 150 años, Zurich está transformando los seguros ya que ofrece cada vez más servicios de prevención, como aquellos que promueven el bienestar y mejoran la resiliencia climática. Reflejando su propósito de “crear juntos un futuro mejor”, Zurich aspira a ser una de las empresas más responsables y de mayor impacto en el mundo. Tiene como objetivo emisiones netas cero para 2050, y tiene la calificación ESG más alta posible de MSCI. El Grupo Zurich tiene alrededor de 60,000 empleados y tiene su sede en Zurich, Suiza. </w:t>
      </w:r>
    </w:p>
    <w:p w:rsidR="758E329B" w:rsidP="758E329B" w:rsidRDefault="758E329B" w14:paraId="624D174B" w14:textId="05A23DC7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</w:p>
    <w:p w:rsidR="3EDDA0F8" w:rsidP="758E329B" w:rsidRDefault="3EDDA0F8" w14:paraId="033EB761" w14:textId="14334EBE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008B5B79">
        <w:rPr>
          <w:rFonts w:ascii="Arial" w:hAnsi="Arial" w:eastAsia="Arial" w:cs="Arial"/>
          <w:color w:val="000000" w:themeColor="text1"/>
          <w:sz w:val="18"/>
          <w:szCs w:val="18"/>
        </w:rPr>
        <w:t xml:space="preserve">Como empresa especializada en seguros de autos, entre otras verticales, Zurich cuenta con diferentes opciones, coberturas y asistencias para cubrir las necesidades de cada usuario. Para conocer más sobre la cartera de productos de Zurich y sobre esta alianza, visita: </w:t>
      </w:r>
      <w:hyperlink r:id="rId17">
        <w:r w:rsidRPr="008B5B79">
          <w:rPr>
            <w:rStyle w:val="Hyperlink"/>
            <w:rFonts w:ascii="Arial" w:hAnsi="Arial" w:eastAsia="Arial" w:cs="Arial"/>
            <w:color w:val="1155CC"/>
            <w:sz w:val="18"/>
            <w:szCs w:val="18"/>
          </w:rPr>
          <w:t>https://www.zurich.com.mx/es-mx/nuestros-seguros/autos</w:t>
        </w:r>
      </w:hyperlink>
      <w:r w:rsidRPr="008B5B79">
        <w:rPr>
          <w:rFonts w:ascii="Arial" w:hAnsi="Arial" w:eastAsia="Arial" w:cs="Arial"/>
          <w:color w:val="000000" w:themeColor="text1"/>
          <w:sz w:val="18"/>
          <w:szCs w:val="18"/>
        </w:rPr>
        <w:t xml:space="preserve"> </w:t>
      </w:r>
    </w:p>
    <w:p w:rsidR="758E329B" w:rsidP="758E329B" w:rsidRDefault="758E329B" w14:paraId="55087CA4" w14:textId="44493536">
      <w:pPr>
        <w:spacing w:line="240" w:lineRule="auto"/>
        <w:jc w:val="both"/>
        <w:rPr>
          <w:rFonts w:ascii="Arial" w:hAnsi="Arial" w:eastAsia="Arial" w:cs="Arial"/>
          <w:color w:val="000000" w:themeColor="text1"/>
        </w:rPr>
      </w:pPr>
    </w:p>
    <w:p w:rsidR="758E329B" w:rsidP="758E329B" w:rsidRDefault="758E329B" w14:paraId="3DF76E2D" w14:textId="238BD163">
      <w:pPr>
        <w:jc w:val="both"/>
      </w:pPr>
    </w:p>
    <w:sectPr w:rsidR="758E329B">
      <w:headerReference w:type="default" r:id="rId18"/>
      <w:footerReference w:type="even" r:id="rId19"/>
      <w:footerReference w:type="default" r:id="rId20"/>
      <w:footerReference w:type="first" r:id="rId21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659D" w:rsidRDefault="0080659D" w14:paraId="5F8D3E5B" w14:textId="77777777">
      <w:pPr>
        <w:spacing w:after="0" w:line="240" w:lineRule="auto"/>
      </w:pPr>
      <w:r>
        <w:separator/>
      </w:r>
    </w:p>
  </w:endnote>
  <w:endnote w:type="continuationSeparator" w:id="0">
    <w:p w:rsidR="0080659D" w:rsidRDefault="0080659D" w14:paraId="70BCA4E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8B5B79" w:rsidRDefault="008B5B79" w14:paraId="008ABD02" w14:textId="6E8ADAC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F84DD9" wp14:editId="036710F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10640" cy="370840"/>
              <wp:effectExtent l="0" t="0" r="10160" b="0"/>
              <wp:wrapNone/>
              <wp:docPr id="1506629746" name="Text Box 2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8B5B79" w:rsidR="008B5B79" w:rsidP="008B5B79" w:rsidRDefault="008B5B79" w14:paraId="3F0C4097" w14:textId="5416B1A1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5B79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FF84DD9">
              <v:stroke joinstyle="miter"/>
              <v:path gradientshapeok="t" o:connecttype="rect"/>
            </v:shapetype>
            <v:shape id="Text Box 2" style="position:absolute;margin-left:0;margin-top:0;width:103.2pt;height:29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 USE ONLY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">
              <v:textbox style="mso-fit-shape-to-text:t" inset="20pt,0,0,15pt">
                <w:txbxContent>
                  <w:p w:rsidRPr="008B5B79" w:rsidR="008B5B79" w:rsidP="008B5B79" w:rsidRDefault="008B5B79" w14:paraId="3F0C4097" w14:textId="5416B1A1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5B79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15" w:type="dxa"/>
      <w:tblLayout w:type="fixed"/>
      <w:tblLook w:val="06A0" w:firstRow="1" w:lastRow="0" w:firstColumn="1" w:lastColumn="0" w:noHBand="1" w:noVBand="1"/>
    </w:tblPr>
    <w:tblGrid>
      <w:gridCol w:w="3210"/>
      <w:gridCol w:w="2800"/>
      <w:gridCol w:w="3005"/>
    </w:tblGrid>
    <w:tr w:rsidR="758E329B" w:rsidTr="5FF882C2" w14:paraId="742FB0AE" w14:textId="77777777">
      <w:trPr>
        <w:trHeight w:val="300"/>
      </w:trPr>
      <w:tc>
        <w:tcPr>
          <w:tcW w:w="3210" w:type="dxa"/>
          <w:tcMar/>
        </w:tcPr>
        <w:p w:rsidR="758E329B" w:rsidP="5FF882C2" w:rsidRDefault="008B5B79" w14:paraId="0BF30F45" w14:textId="6FD5C0D4">
          <w:pPr>
            <w:pStyle w:val="Header"/>
            <w:ind w:left="-115"/>
            <w:rPr>
              <w:i w:val="1"/>
              <w:iCs w:val="1"/>
              <w:sz w:val="18"/>
              <w:szCs w:val="18"/>
            </w:rPr>
          </w:pPr>
          <w:r w:rsidRPr="5FF882C2" w:rsidR="5FF882C2">
            <w:rPr>
              <w:i w:val="1"/>
              <w:iCs w:val="1"/>
              <w:sz w:val="18"/>
              <w:szCs w:val="18"/>
            </w:rPr>
            <w:t>Comentarios ajustados</w:t>
          </w:r>
        </w:p>
      </w:tc>
      <w:tc>
        <w:tcPr>
          <w:tcW w:w="2800" w:type="dxa"/>
          <w:tcMar/>
        </w:tcPr>
        <w:p w:rsidR="758E329B" w:rsidP="758E329B" w:rsidRDefault="758E329B" w14:paraId="7D51F936" w14:textId="76C24E44">
          <w:pPr>
            <w:pStyle w:val="Header"/>
            <w:jc w:val="center"/>
          </w:pPr>
        </w:p>
      </w:tc>
      <w:tc>
        <w:tcPr>
          <w:tcW w:w="3005" w:type="dxa"/>
          <w:tcMar/>
        </w:tcPr>
        <w:p w:rsidR="758E329B" w:rsidP="758E329B" w:rsidRDefault="758E329B" w14:paraId="6FAFE2A9" w14:textId="2E87DA19">
          <w:pPr>
            <w:pStyle w:val="Header"/>
            <w:ind w:right="-115"/>
            <w:jc w:val="right"/>
          </w:pPr>
        </w:p>
      </w:tc>
    </w:tr>
  </w:tbl>
  <w:p w:rsidR="758E329B" w:rsidP="758E329B" w:rsidRDefault="758E329B" w14:paraId="309FA8F9" w14:textId="4D0544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8B5B79" w:rsidRDefault="008B5B79" w14:paraId="4A0CFEF1" w14:textId="647637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49DF32" wp14:editId="0889546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10640" cy="370840"/>
              <wp:effectExtent l="0" t="0" r="10160" b="0"/>
              <wp:wrapNone/>
              <wp:docPr id="1255387311" name="Text Box 1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8B5B79" w:rsidR="008B5B79" w:rsidP="008B5B79" w:rsidRDefault="008B5B79" w14:paraId="51A4A55D" w14:textId="3468C39E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5B79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649DF32">
              <v:stroke joinstyle="miter"/>
              <v:path gradientshapeok="t" o:connecttype="rect"/>
            </v:shapetype>
            <v:shape id="Text Box 1" style="position:absolute;margin-left:0;margin-top:0;width:103.2pt;height:29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 USE ONLY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">
              <v:textbox style="mso-fit-shape-to-text:t" inset="20pt,0,0,15pt">
                <w:txbxContent>
                  <w:p w:rsidRPr="008B5B79" w:rsidR="008B5B79" w:rsidP="008B5B79" w:rsidRDefault="008B5B79" w14:paraId="51A4A55D" w14:textId="3468C39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5B79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659D" w:rsidRDefault="0080659D" w14:paraId="7465D5CF" w14:textId="77777777">
      <w:pPr>
        <w:spacing w:after="0" w:line="240" w:lineRule="auto"/>
      </w:pPr>
      <w:r>
        <w:separator/>
      </w:r>
    </w:p>
  </w:footnote>
  <w:footnote w:type="continuationSeparator" w:id="0">
    <w:p w:rsidR="0080659D" w:rsidRDefault="0080659D" w14:paraId="7E7DC11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58E329B" w:rsidTr="758E329B" w14:paraId="09E13FFE" w14:textId="77777777">
      <w:trPr>
        <w:trHeight w:val="300"/>
      </w:trPr>
      <w:tc>
        <w:tcPr>
          <w:tcW w:w="3005" w:type="dxa"/>
        </w:tcPr>
        <w:p w:rsidR="758E329B" w:rsidP="758E329B" w:rsidRDefault="758E329B" w14:paraId="04732FDC" w14:textId="3A5DDB35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4904FB81" wp14:editId="6AE0D46E">
                <wp:extent cx="1571625" cy="371475"/>
                <wp:effectExtent l="0" t="0" r="0" b="0"/>
                <wp:docPr id="1939927630" name="Picture 19399276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758E329B" w:rsidP="758E329B" w:rsidRDefault="758E329B" w14:paraId="5B400DBA" w14:textId="090B3168">
          <w:pPr>
            <w:pStyle w:val="Header"/>
            <w:jc w:val="center"/>
          </w:pPr>
        </w:p>
      </w:tc>
      <w:tc>
        <w:tcPr>
          <w:tcW w:w="3005" w:type="dxa"/>
        </w:tcPr>
        <w:p w:rsidR="758E329B" w:rsidP="758E329B" w:rsidRDefault="758E329B" w14:paraId="17807526" w14:textId="705C50D7">
          <w:pPr>
            <w:pStyle w:val="Header"/>
            <w:ind w:right="-115"/>
            <w:jc w:val="right"/>
          </w:pPr>
        </w:p>
      </w:tc>
    </w:tr>
  </w:tbl>
  <w:p w:rsidR="758E329B" w:rsidP="758E329B" w:rsidRDefault="758E329B" w14:paraId="7B73DE1C" w14:textId="7EE275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CCFA2"/>
    <w:multiLevelType w:val="hybridMultilevel"/>
    <w:tmpl w:val="FAAA0B1A"/>
    <w:lvl w:ilvl="0" w:tplc="20BADF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90EA6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3680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BE80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5241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620C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843B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3CC5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0087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7768969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33CC6B"/>
    <w:rsid w:val="0007708D"/>
    <w:rsid w:val="0040410A"/>
    <w:rsid w:val="005F4CDA"/>
    <w:rsid w:val="0060220B"/>
    <w:rsid w:val="006A3A53"/>
    <w:rsid w:val="0080659D"/>
    <w:rsid w:val="00885898"/>
    <w:rsid w:val="008B5B79"/>
    <w:rsid w:val="00A07899"/>
    <w:rsid w:val="00C538A5"/>
    <w:rsid w:val="00C77390"/>
    <w:rsid w:val="00D3292F"/>
    <w:rsid w:val="00FC382E"/>
    <w:rsid w:val="078B5617"/>
    <w:rsid w:val="09C5E6F0"/>
    <w:rsid w:val="0A865D29"/>
    <w:rsid w:val="0A9592B7"/>
    <w:rsid w:val="0AE87AC0"/>
    <w:rsid w:val="0EA1D8A1"/>
    <w:rsid w:val="10B6CF94"/>
    <w:rsid w:val="17BB27C9"/>
    <w:rsid w:val="19413F57"/>
    <w:rsid w:val="1948BE28"/>
    <w:rsid w:val="1DA61226"/>
    <w:rsid w:val="1E580CDF"/>
    <w:rsid w:val="22A2FDC5"/>
    <w:rsid w:val="23B6E252"/>
    <w:rsid w:val="2470BA28"/>
    <w:rsid w:val="2FA51855"/>
    <w:rsid w:val="32A6F9E4"/>
    <w:rsid w:val="368F9DD8"/>
    <w:rsid w:val="380DFE89"/>
    <w:rsid w:val="3834A964"/>
    <w:rsid w:val="38CC06D7"/>
    <w:rsid w:val="3D9D37E7"/>
    <w:rsid w:val="3EDDA0F8"/>
    <w:rsid w:val="4133CC6B"/>
    <w:rsid w:val="425AC671"/>
    <w:rsid w:val="4989B1F2"/>
    <w:rsid w:val="4DAEB516"/>
    <w:rsid w:val="5218BFF1"/>
    <w:rsid w:val="54EBA61F"/>
    <w:rsid w:val="5575C558"/>
    <w:rsid w:val="559AA325"/>
    <w:rsid w:val="56379872"/>
    <w:rsid w:val="56DDF93C"/>
    <w:rsid w:val="58C12497"/>
    <w:rsid w:val="5DFE9579"/>
    <w:rsid w:val="5FF882C2"/>
    <w:rsid w:val="609290DF"/>
    <w:rsid w:val="61838112"/>
    <w:rsid w:val="66158BEA"/>
    <w:rsid w:val="6D47A926"/>
    <w:rsid w:val="6F530A7A"/>
    <w:rsid w:val="74773C14"/>
    <w:rsid w:val="758E329B"/>
    <w:rsid w:val="77DA15EF"/>
    <w:rsid w:val="7A54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11F23"/>
  <w15:chartTrackingRefBased/>
  <w15:docId w15:val="{BF06DD10-6331-4F10-ADDA-0D2CBC5E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538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38A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538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8A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538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hyperlink" Target="https://www.zurich.com.mx/es-mx/nuestros-seguros/autos" TargetMode="Externa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theme" Target="theme/theme1.xml" Id="rId24" /><Relationship Type="http://schemas.openxmlformats.org/officeDocument/2006/relationships/styles" Target="styles.xml" Id="rId5" /><Relationship Type="http://schemas.microsoft.com/office/2011/relationships/people" Target="people.xml" Id="rId23" /><Relationship Type="http://schemas.openxmlformats.org/officeDocument/2006/relationships/footer" Target="foot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22" /><Relationship Type="http://schemas.openxmlformats.org/officeDocument/2006/relationships/hyperlink" Target="https://www.bing.com/search?pglt=2083&amp;q=olinia+autos+electricos+m%C3%A9xico&amp;cvid=62405d5c9d89415489202059ab908ead&amp;gs_lcrp=EgRlZGdlKgYIABBFGDkyBggAEEUYOTIICAEQ6QcY_FXSAQg0NjI4ajBqMagCALACAA&amp;FORM=ANNAB1&amp;PC=ASTS" TargetMode="External" Id="Rb55895d129794866" /><Relationship Type="http://schemas.openxmlformats.org/officeDocument/2006/relationships/hyperlink" Target="https://www.pwc.es/es/publicaciones/seguros/pwc-insurance-2025.pdf" TargetMode="External" Id="R570438dafa7246d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0" ma:contentTypeDescription="Create a new document." ma:contentTypeScope="" ma:versionID="56e73d81008d7e597f24943df44b96d4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727611e7522af8c51b2bdfa303c98dba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0C38CE-0CD4-4A35-8DD6-3716E89CE9A2}">
  <ds:schemaRefs>
    <ds:schemaRef ds:uri="http://schemas.microsoft.com/office/2006/metadata/properties"/>
    <ds:schemaRef ds:uri="http://schemas.microsoft.com/office/infopath/2007/PartnerControls"/>
    <ds:schemaRef ds:uri="549d9b32-086f-4d1d-a400-c5b4faa47054"/>
  </ds:schemaRefs>
</ds:datastoreItem>
</file>

<file path=customXml/itemProps2.xml><?xml version="1.0" encoding="utf-8"?>
<ds:datastoreItem xmlns:ds="http://schemas.openxmlformats.org/officeDocument/2006/customXml" ds:itemID="{CCE07A45-4B02-4C6E-9F3A-E97DECBF0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19E0DA-4AEB-4551-A410-9ECA5CF68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d9b32-086f-4d1d-a400-c5b4faa47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Omar Ortega Jaime</dc:creator>
  <keywords/>
  <dc:description/>
  <lastModifiedBy>Larissa Moran</lastModifiedBy>
  <revision>6</revision>
  <dcterms:created xsi:type="dcterms:W3CDTF">2025-04-01T00:57:00.0000000Z</dcterms:created>
  <dcterms:modified xsi:type="dcterms:W3CDTF">2025-04-28T16:03:28.1869677Z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4ad3b0af,59cd5872,65bb788e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INTERNAL USE ONLY</vt:lpwstr>
  </property>
  <property fmtid="{D5CDD505-2E9C-101B-9397-08002B2CF9AE}" pid="7" name="MSIP_Label_9108d454-5c13-4905-93be-12ec8059c842_Enabled">
    <vt:lpwstr>true</vt:lpwstr>
  </property>
  <property fmtid="{D5CDD505-2E9C-101B-9397-08002B2CF9AE}" pid="8" name="MSIP_Label_9108d454-5c13-4905-93be-12ec8059c842_SetDate">
    <vt:lpwstr>2025-01-22T15:31:19Z</vt:lpwstr>
  </property>
  <property fmtid="{D5CDD505-2E9C-101B-9397-08002B2CF9AE}" pid="9" name="MSIP_Label_9108d454-5c13-4905-93be-12ec8059c842_Method">
    <vt:lpwstr>Privileged</vt:lpwstr>
  </property>
  <property fmtid="{D5CDD505-2E9C-101B-9397-08002B2CF9AE}" pid="10" name="MSIP_Label_9108d454-5c13-4905-93be-12ec8059c842_Name">
    <vt:lpwstr>9108d454-5c13-4905-93be-12ec8059c842</vt:lpwstr>
  </property>
  <property fmtid="{D5CDD505-2E9C-101B-9397-08002B2CF9AE}" pid="11" name="MSIP_Label_9108d454-5c13-4905-93be-12ec8059c842_SiteId">
    <vt:lpwstr>473672ba-cd07-4371-a2ae-788b4c61840e</vt:lpwstr>
  </property>
  <property fmtid="{D5CDD505-2E9C-101B-9397-08002B2CF9AE}" pid="12" name="MSIP_Label_9108d454-5c13-4905-93be-12ec8059c842_ActionId">
    <vt:lpwstr>fca18f1e-5b4b-40d8-8bc5-1c07e86e66e6</vt:lpwstr>
  </property>
  <property fmtid="{D5CDD505-2E9C-101B-9397-08002B2CF9AE}" pid="13" name="MSIP_Label_9108d454-5c13-4905-93be-12ec8059c842_ContentBits">
    <vt:lpwstr>2</vt:lpwstr>
  </property>
  <property fmtid="{D5CDD505-2E9C-101B-9397-08002B2CF9AE}" pid="14" name="MSIP_Label_9108d454-5c13-4905-93be-12ec8059c842_Tag">
    <vt:lpwstr>50, 0, 1, 1</vt:lpwstr>
  </property>
</Properties>
</file>